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F" w:rsidRDefault="0090227F" w:rsidP="0090227F">
      <w:pPr>
        <w:widowControl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33"/>
          <w:szCs w:val="33"/>
        </w:rPr>
      </w:pPr>
      <w:r w:rsidRPr="0090227F">
        <w:rPr>
          <w:rFonts w:ascii="微软雅黑" w:eastAsia="微软雅黑" w:hAnsi="微软雅黑" w:cs="宋体" w:hint="eastAsia"/>
          <w:b/>
          <w:bCs/>
          <w:color w:val="444444"/>
          <w:kern w:val="0"/>
          <w:sz w:val="33"/>
          <w:szCs w:val="33"/>
        </w:rPr>
        <w:t>中国空间技术研究院（航天五院）201</w:t>
      </w:r>
      <w:r>
        <w:rPr>
          <w:rFonts w:ascii="微软雅黑" w:eastAsia="微软雅黑" w:hAnsi="微软雅黑" w:cs="宋体" w:hint="eastAsia"/>
          <w:b/>
          <w:bCs/>
          <w:color w:val="444444"/>
          <w:kern w:val="0"/>
          <w:sz w:val="33"/>
          <w:szCs w:val="33"/>
        </w:rPr>
        <w:t>8</w:t>
      </w:r>
      <w:r w:rsidRPr="0090227F">
        <w:rPr>
          <w:rFonts w:ascii="微软雅黑" w:eastAsia="微软雅黑" w:hAnsi="微软雅黑" w:cs="宋体" w:hint="eastAsia"/>
          <w:b/>
          <w:bCs/>
          <w:color w:val="444444"/>
          <w:kern w:val="0"/>
          <w:sz w:val="33"/>
          <w:szCs w:val="33"/>
        </w:rPr>
        <w:t>年学术型</w:t>
      </w:r>
    </w:p>
    <w:p w:rsidR="0090227F" w:rsidRPr="0090227F" w:rsidRDefault="0090227F" w:rsidP="0090227F">
      <w:pPr>
        <w:widowControl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33"/>
          <w:szCs w:val="33"/>
        </w:rPr>
      </w:pPr>
      <w:r w:rsidRPr="0090227F">
        <w:rPr>
          <w:rFonts w:ascii="微软雅黑" w:eastAsia="微软雅黑" w:hAnsi="微软雅黑" w:cs="宋体" w:hint="eastAsia"/>
          <w:b/>
          <w:bCs/>
          <w:color w:val="444444"/>
          <w:kern w:val="0"/>
          <w:sz w:val="33"/>
          <w:szCs w:val="33"/>
        </w:rPr>
        <w:t>硕士研究生调剂信息</w:t>
      </w:r>
    </w:p>
    <w:p w:rsidR="0090227F" w:rsidRDefault="0090227F" w:rsidP="0090227F">
      <w:pPr>
        <w:widowControl/>
        <w:spacing w:line="420" w:lineRule="atLeast"/>
        <w:ind w:firstLine="375"/>
        <w:jc w:val="left"/>
        <w:rPr>
          <w:rFonts w:ascii="仿宋" w:eastAsia="仿宋" w:hAnsi="仿宋" w:cs="宋体"/>
          <w:b/>
          <w:bCs/>
          <w:color w:val="444444"/>
          <w:kern w:val="0"/>
          <w:sz w:val="30"/>
          <w:szCs w:val="30"/>
        </w:rPr>
      </w:pPr>
    </w:p>
    <w:p w:rsidR="0090227F" w:rsidRPr="0090227F" w:rsidRDefault="0090227F" w:rsidP="00CD653D">
      <w:pPr>
        <w:widowControl/>
        <w:spacing w:line="420" w:lineRule="atLeast"/>
        <w:ind w:firstLine="375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b/>
          <w:bCs/>
          <w:color w:val="444444"/>
          <w:kern w:val="0"/>
          <w:sz w:val="30"/>
          <w:szCs w:val="30"/>
        </w:rPr>
        <w:t>一、调剂专业</w:t>
      </w:r>
    </w:p>
    <w:p w:rsidR="0090227F" w:rsidRPr="0090227F" w:rsidRDefault="0090227F" w:rsidP="00CD653D">
      <w:pPr>
        <w:widowControl/>
        <w:spacing w:line="420" w:lineRule="atLeast"/>
        <w:ind w:firstLine="600"/>
        <w:rPr>
          <w:rFonts w:ascii="宋体" w:eastAsia="宋体" w:hAnsi="宋体" w:cs="宋体"/>
          <w:color w:val="444444"/>
          <w:kern w:val="0"/>
          <w:szCs w:val="21"/>
        </w:rPr>
      </w:pPr>
      <w:r w:rsidRPr="000B257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航空宇航科学与技术、光学工程、仪器科学与技术、信息与通信工程、</w:t>
      </w:r>
      <w:r w:rsidR="000B257B" w:rsidRPr="000B257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控制科学与工程、</w:t>
      </w:r>
      <w:r w:rsidRPr="000B257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计算机科学与技术、软件工程、电子科学与技术、</w:t>
      </w:r>
      <w:r w:rsidR="000B257B" w:rsidRPr="000B257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低温及制冷工程、</w:t>
      </w:r>
      <w:r w:rsidRPr="000B257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空间信息网络与传输技术、宇航材料工程、宇航元器件工程等专业</w:t>
      </w: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及相近专业。</w:t>
      </w:r>
    </w:p>
    <w:p w:rsidR="0090227F" w:rsidRPr="0090227F" w:rsidRDefault="0090227F" w:rsidP="00CD653D">
      <w:pPr>
        <w:widowControl/>
        <w:spacing w:line="420" w:lineRule="atLeast"/>
        <w:ind w:firstLine="375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b/>
          <w:bCs/>
          <w:color w:val="444444"/>
          <w:kern w:val="0"/>
          <w:sz w:val="30"/>
          <w:szCs w:val="30"/>
        </w:rPr>
        <w:t>二、调剂要求</w:t>
      </w:r>
    </w:p>
    <w:p w:rsidR="0090227F" w:rsidRPr="0090227F" w:rsidRDefault="0090227F" w:rsidP="00CD653D">
      <w:pPr>
        <w:widowControl/>
        <w:spacing w:line="420" w:lineRule="atLeast"/>
        <w:ind w:firstLine="600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1、符合五院201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8</w:t>
      </w: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年硕士研究生招生的报考条件，详见五院201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8</w:t>
      </w: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年招收攻读硕士学位研究生招生简章</w:t>
      </w:r>
      <w:r w:rsidR="00421E9D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</w:t>
      </w:r>
      <w:r w:rsidR="00B75058">
        <w:rPr>
          <w:rFonts w:ascii="仿宋" w:eastAsia="仿宋" w:hAnsi="仿宋" w:cs="宋体"/>
          <w:color w:val="444444"/>
          <w:kern w:val="0"/>
          <w:sz w:val="30"/>
          <w:szCs w:val="30"/>
        </w:rPr>
        <w:t>http://www.cast.cn</w:t>
      </w:r>
      <w:r w:rsidR="00421E9D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网站神舟学院页面招生信息</w:t>
      </w:r>
      <w:r w:rsidR="00B7505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或</w:t>
      </w:r>
      <w:proofErr w:type="gramStart"/>
      <w:r w:rsidR="00B7505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研招网中国</w:t>
      </w:r>
      <w:proofErr w:type="gramEnd"/>
      <w:r w:rsidR="00B7505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空间技术研究院页面</w:t>
      </w:r>
      <w:r w:rsidR="00421E9D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</w:t>
      </w: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90227F" w:rsidRDefault="0090227F" w:rsidP="00CD653D">
      <w:pPr>
        <w:widowControl/>
        <w:spacing w:line="420" w:lineRule="atLeast"/>
        <w:ind w:firstLine="600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2、系国家985、211</w:t>
      </w:r>
      <w:r w:rsidR="009B6B07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综合类、理工类</w:t>
      </w: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高校</w:t>
      </w:r>
      <w:r w:rsidRPr="0090227F">
        <w:rPr>
          <w:rFonts w:ascii="仿宋" w:eastAsia="仿宋" w:hAnsi="仿宋" w:cs="宋体" w:hint="eastAsia"/>
          <w:b/>
          <w:bCs/>
          <w:color w:val="444444"/>
          <w:kern w:val="0"/>
          <w:sz w:val="30"/>
          <w:szCs w:val="30"/>
        </w:rPr>
        <w:t>应届本科</w:t>
      </w: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毕业生；</w:t>
      </w:r>
    </w:p>
    <w:p w:rsidR="00A46066" w:rsidRPr="0090227F" w:rsidRDefault="00A46066" w:rsidP="00CD653D">
      <w:pPr>
        <w:widowControl/>
        <w:spacing w:line="420" w:lineRule="atLeast"/>
        <w:ind w:firstLine="600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3、考生第一志愿报考</w:t>
      </w:r>
      <w:r w:rsidRPr="00A46066">
        <w:rPr>
          <w:rFonts w:ascii="仿宋" w:eastAsia="仿宋" w:hAnsi="仿宋" w:cs="宋体" w:hint="eastAsia"/>
          <w:b/>
          <w:color w:val="444444"/>
          <w:kern w:val="0"/>
          <w:sz w:val="30"/>
          <w:szCs w:val="30"/>
        </w:rPr>
        <w:t>学术型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硕士研究生</w:t>
      </w:r>
      <w:r w:rsidR="00DD711A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，考试科目应为英语一、数学</w:t>
      </w:r>
      <w:proofErr w:type="gramStart"/>
      <w:r w:rsidR="00DD711A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一</w:t>
      </w:r>
      <w:proofErr w:type="gramEnd"/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；</w:t>
      </w:r>
    </w:p>
    <w:p w:rsidR="0090227F" w:rsidRDefault="00421E9D" w:rsidP="00CD653D">
      <w:pPr>
        <w:widowControl/>
        <w:spacing w:line="420" w:lineRule="atLeast"/>
        <w:ind w:firstLine="600"/>
        <w:rPr>
          <w:rFonts w:ascii="仿宋" w:eastAsia="仿宋" w:hAnsi="仿宋"/>
          <w:color w:val="444444"/>
          <w:sz w:val="30"/>
          <w:szCs w:val="30"/>
        </w:rPr>
      </w:pPr>
      <w:r w:rsidRPr="007C098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4</w:t>
      </w:r>
      <w:r w:rsidR="0090227F" w:rsidRPr="007C098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、</w:t>
      </w:r>
      <w:r w:rsidR="0053033E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申请调剂考生</w:t>
      </w:r>
      <w:r w:rsidR="007C098B" w:rsidRPr="007C098B">
        <w:rPr>
          <w:rFonts w:ascii="仿宋" w:eastAsia="仿宋" w:hAnsi="仿宋" w:hint="eastAsia"/>
          <w:color w:val="444444"/>
          <w:sz w:val="30"/>
          <w:szCs w:val="30"/>
        </w:rPr>
        <w:t>初</w:t>
      </w:r>
      <w:r w:rsidR="007C098B">
        <w:rPr>
          <w:rFonts w:ascii="仿宋" w:eastAsia="仿宋" w:hAnsi="仿宋" w:hint="eastAsia"/>
          <w:color w:val="444444"/>
          <w:sz w:val="30"/>
          <w:szCs w:val="30"/>
        </w:rPr>
        <w:t>试成绩需满足以下分数要求。</w:t>
      </w:r>
    </w:p>
    <w:tbl>
      <w:tblPr>
        <w:tblStyle w:val="aa"/>
        <w:tblW w:w="9589" w:type="dxa"/>
        <w:jc w:val="center"/>
        <w:tblLook w:val="04A0" w:firstRow="1" w:lastRow="0" w:firstColumn="1" w:lastColumn="0" w:noHBand="0" w:noVBand="1"/>
      </w:tblPr>
      <w:tblGrid>
        <w:gridCol w:w="3036"/>
        <w:gridCol w:w="2083"/>
        <w:gridCol w:w="878"/>
        <w:gridCol w:w="878"/>
        <w:gridCol w:w="878"/>
        <w:gridCol w:w="1836"/>
      </w:tblGrid>
      <w:tr w:rsidR="00A86D1D" w:rsidRPr="00A86D1D" w:rsidTr="00A86D1D">
        <w:trPr>
          <w:tblHeader/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调剂学科</w:t>
            </w:r>
          </w:p>
        </w:tc>
        <w:tc>
          <w:tcPr>
            <w:tcW w:w="2083" w:type="dxa"/>
            <w:vAlign w:val="center"/>
          </w:tcPr>
          <w:p w:rsid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思想政治理论、</w:t>
            </w:r>
          </w:p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英语</w:t>
            </w:r>
            <w:proofErr w:type="gramStart"/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78" w:type="dxa"/>
            <w:vAlign w:val="center"/>
          </w:tcPr>
          <w:p w:rsid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数学</w:t>
            </w:r>
          </w:p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4"/>
                <w:szCs w:val="24"/>
              </w:rPr>
            </w:pPr>
            <w:proofErr w:type="gramStart"/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78" w:type="dxa"/>
            <w:vAlign w:val="center"/>
          </w:tcPr>
          <w:p w:rsid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专业</w:t>
            </w:r>
          </w:p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课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总分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b/>
                <w:color w:val="444444"/>
                <w:kern w:val="0"/>
                <w:sz w:val="24"/>
                <w:szCs w:val="24"/>
              </w:rPr>
              <w:t>备注</w:t>
            </w:r>
          </w:p>
        </w:tc>
      </w:tr>
      <w:tr w:rsidR="00A86D1D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083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340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A86D1D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航空宇航科学与技术</w:t>
            </w:r>
          </w:p>
        </w:tc>
        <w:tc>
          <w:tcPr>
            <w:tcW w:w="2083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</w:t>
            </w:r>
            <w:r w:rsidR="0053033E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</w:t>
            </w: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A86D1D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2083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330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A86D1D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2083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330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A86D1D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083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330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7C098B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083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330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7C098B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2083" w:type="dxa"/>
            <w:vAlign w:val="center"/>
          </w:tcPr>
          <w:p w:rsidR="007C098B" w:rsidRPr="00A86D1D" w:rsidRDefault="0053033E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</w:t>
            </w:r>
            <w:r w:rsidR="001A0F0A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</w:t>
            </w: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7C098B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lastRenderedPageBreak/>
              <w:t>空间信息网络与传输技术</w:t>
            </w:r>
          </w:p>
        </w:tc>
        <w:tc>
          <w:tcPr>
            <w:tcW w:w="2083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330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自主设置学科</w:t>
            </w:r>
          </w:p>
        </w:tc>
      </w:tr>
      <w:tr w:rsidR="007C098B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宇航元器件工程</w:t>
            </w:r>
          </w:p>
        </w:tc>
        <w:tc>
          <w:tcPr>
            <w:tcW w:w="2083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330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自主设置学科</w:t>
            </w:r>
          </w:p>
        </w:tc>
      </w:tr>
      <w:tr w:rsidR="007C098B" w:rsidRPr="00A86D1D" w:rsidTr="00A86D1D">
        <w:trPr>
          <w:jc w:val="center"/>
        </w:trPr>
        <w:tc>
          <w:tcPr>
            <w:tcW w:w="30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宇航材料工程</w:t>
            </w:r>
          </w:p>
        </w:tc>
        <w:tc>
          <w:tcPr>
            <w:tcW w:w="2083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50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75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878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</w:t>
            </w:r>
            <w:r w:rsidR="00CD653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3</w:t>
            </w: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7C098B" w:rsidRPr="00A86D1D" w:rsidRDefault="007C098B" w:rsidP="007C098B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</w:rPr>
            </w:pPr>
            <w:r w:rsidRPr="00A86D1D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自主设置学科</w:t>
            </w:r>
          </w:p>
        </w:tc>
      </w:tr>
    </w:tbl>
    <w:p w:rsidR="0090227F" w:rsidRPr="0090227F" w:rsidRDefault="0090227F" w:rsidP="00AE7693">
      <w:pPr>
        <w:widowControl/>
        <w:spacing w:line="420" w:lineRule="atLeast"/>
        <w:ind w:firstLine="375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b/>
          <w:bCs/>
          <w:color w:val="444444"/>
          <w:kern w:val="0"/>
          <w:sz w:val="30"/>
          <w:szCs w:val="30"/>
        </w:rPr>
        <w:t>三、调剂程序</w:t>
      </w:r>
    </w:p>
    <w:p w:rsidR="0090227F" w:rsidRPr="0090227F" w:rsidRDefault="0090227F" w:rsidP="00AE7693">
      <w:pPr>
        <w:widowControl/>
        <w:spacing w:line="420" w:lineRule="atLeast"/>
        <w:ind w:firstLine="600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1、调剂考生须将个人简历（简历模板见</w:t>
      </w:r>
      <w:r w:rsidRPr="009B6B07">
        <w:rPr>
          <w:rFonts w:ascii="仿宋" w:eastAsia="仿宋" w:hAnsi="仿宋" w:cs="宋体" w:hint="eastAsia"/>
          <w:b/>
          <w:color w:val="444444"/>
          <w:kern w:val="0"/>
          <w:sz w:val="30"/>
          <w:szCs w:val="30"/>
          <w:u w:val="single"/>
        </w:rPr>
        <w:t>附件</w:t>
      </w: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）、本科成绩单扫描件、获奖情况等材料发送至邮箱:sicast@yeah.net，邮件名称：调剂专业+初试成绩+考生姓名+本科毕业学校+本科专业。</w:t>
      </w:r>
    </w:p>
    <w:p w:rsidR="0090227F" w:rsidRPr="0090227F" w:rsidRDefault="0090227F" w:rsidP="00AE7693">
      <w:pPr>
        <w:widowControl/>
        <w:spacing w:line="420" w:lineRule="atLeast"/>
        <w:ind w:firstLine="600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2、复试时间拟安排在3月中旬左右进行，</w:t>
      </w:r>
      <w:r w:rsidR="00753AE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调剂考生名单将</w:t>
      </w:r>
      <w:r w:rsidR="00F07D2D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发布在研招网中国空间技术研究院页面并</w:t>
      </w:r>
      <w:r w:rsidR="00753AE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电话通知考生本人。</w:t>
      </w:r>
    </w:p>
    <w:p w:rsidR="0090227F" w:rsidRPr="0090227F" w:rsidRDefault="0090227F" w:rsidP="0090227F">
      <w:pPr>
        <w:widowControl/>
        <w:spacing w:line="420" w:lineRule="atLeast"/>
        <w:ind w:firstLine="375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b/>
          <w:bCs/>
          <w:color w:val="444444"/>
          <w:kern w:val="0"/>
          <w:sz w:val="30"/>
          <w:szCs w:val="30"/>
        </w:rPr>
        <w:t>四、其他</w:t>
      </w:r>
    </w:p>
    <w:p w:rsidR="0090227F" w:rsidRPr="0090227F" w:rsidRDefault="0090227F" w:rsidP="00421E9D">
      <w:pPr>
        <w:widowControl/>
        <w:spacing w:line="420" w:lineRule="atLeast"/>
        <w:ind w:firstLine="600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学生在学期间一律免收学费，统一安排住宿。硕士研究生每月2000元助学金，同时享有五院各类生活补贴和福利待遇，设有“航天科技集团公司研究生奖学金”、“五院研究生奖学金”、企业和个人资助的各类奖学金，享受基本医疗保险和大病意外伤害保险。学生毕业后原则上分配至五院各部、所（厂）工作。</w:t>
      </w:r>
    </w:p>
    <w:p w:rsidR="0090227F" w:rsidRPr="0090227F" w:rsidRDefault="0090227F" w:rsidP="0090227F">
      <w:pPr>
        <w:widowControl/>
        <w:spacing w:line="420" w:lineRule="atLeast"/>
        <w:ind w:firstLine="60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宋体" w:eastAsia="宋体" w:hAnsi="宋体" w:cs="宋体" w:hint="eastAsia"/>
          <w:color w:val="444444"/>
          <w:kern w:val="0"/>
          <w:sz w:val="30"/>
          <w:szCs w:val="30"/>
        </w:rPr>
        <w:t> </w:t>
      </w:r>
    </w:p>
    <w:p w:rsidR="0090227F" w:rsidRPr="0090227F" w:rsidRDefault="0090227F" w:rsidP="0090227F">
      <w:pPr>
        <w:widowControl/>
        <w:spacing w:line="420" w:lineRule="atLeast"/>
        <w:ind w:firstLine="60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联系电话：010-68745111</w:t>
      </w:r>
    </w:p>
    <w:p w:rsidR="0090227F" w:rsidRPr="0090227F" w:rsidRDefault="0090227F" w:rsidP="0090227F">
      <w:pPr>
        <w:widowControl/>
        <w:spacing w:line="420" w:lineRule="atLeast"/>
        <w:ind w:firstLine="60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通信地址：北京市海淀区知春路82号</w:t>
      </w:r>
      <w:r w:rsidR="00421E9D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研究生部</w:t>
      </w:r>
    </w:p>
    <w:p w:rsidR="0090227F" w:rsidRPr="0090227F" w:rsidRDefault="0090227F" w:rsidP="0090227F">
      <w:pPr>
        <w:widowControl/>
        <w:spacing w:line="420" w:lineRule="atLeast"/>
        <w:ind w:firstLine="60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邮编：100086</w:t>
      </w:r>
      <w:bookmarkStart w:id="0" w:name="_GoBack"/>
      <w:bookmarkEnd w:id="0"/>
    </w:p>
    <w:p w:rsidR="0090227F" w:rsidRPr="0090227F" w:rsidRDefault="0090227F" w:rsidP="0090227F">
      <w:pPr>
        <w:widowControl/>
        <w:spacing w:line="420" w:lineRule="atLeast"/>
        <w:ind w:firstLine="60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90227F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网址：http://www.cast.cn</w:t>
      </w:r>
    </w:p>
    <w:p w:rsidR="00391A75" w:rsidRPr="0090227F" w:rsidRDefault="00391A75"/>
    <w:sectPr w:rsidR="00391A75" w:rsidRPr="00902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09" w:rsidRDefault="00843F09" w:rsidP="007C098B">
      <w:r>
        <w:separator/>
      </w:r>
    </w:p>
  </w:endnote>
  <w:endnote w:type="continuationSeparator" w:id="0">
    <w:p w:rsidR="00843F09" w:rsidRDefault="00843F09" w:rsidP="007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09" w:rsidRDefault="00843F09" w:rsidP="007C098B">
      <w:r>
        <w:separator/>
      </w:r>
    </w:p>
  </w:footnote>
  <w:footnote w:type="continuationSeparator" w:id="0">
    <w:p w:rsidR="00843F09" w:rsidRDefault="00843F09" w:rsidP="007C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75"/>
    <w:rsid w:val="000B257B"/>
    <w:rsid w:val="0014506C"/>
    <w:rsid w:val="001A0F0A"/>
    <w:rsid w:val="00391A75"/>
    <w:rsid w:val="00421E9D"/>
    <w:rsid w:val="004458A6"/>
    <w:rsid w:val="0053033E"/>
    <w:rsid w:val="00753AE8"/>
    <w:rsid w:val="007C098B"/>
    <w:rsid w:val="007D7C83"/>
    <w:rsid w:val="00843F09"/>
    <w:rsid w:val="0090227F"/>
    <w:rsid w:val="009B6B07"/>
    <w:rsid w:val="00A46066"/>
    <w:rsid w:val="00A86D1D"/>
    <w:rsid w:val="00AE7693"/>
    <w:rsid w:val="00B75058"/>
    <w:rsid w:val="00CD653D"/>
    <w:rsid w:val="00DD711A"/>
    <w:rsid w:val="00F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22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022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90227F"/>
  </w:style>
  <w:style w:type="character" w:styleId="a3">
    <w:name w:val="Emphasis"/>
    <w:basedOn w:val="a0"/>
    <w:uiPriority w:val="20"/>
    <w:qFormat/>
    <w:rsid w:val="0090227F"/>
    <w:rPr>
      <w:i/>
      <w:iCs/>
    </w:rPr>
  </w:style>
  <w:style w:type="character" w:styleId="a4">
    <w:name w:val="Hyperlink"/>
    <w:basedOn w:val="a0"/>
    <w:uiPriority w:val="99"/>
    <w:unhideWhenUsed/>
    <w:rsid w:val="009022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022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227F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B6B0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B6B07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7C0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C098B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C0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C098B"/>
    <w:rPr>
      <w:sz w:val="18"/>
      <w:szCs w:val="18"/>
    </w:rPr>
  </w:style>
  <w:style w:type="table" w:styleId="aa">
    <w:name w:val="Table Grid"/>
    <w:basedOn w:val="a1"/>
    <w:uiPriority w:val="59"/>
    <w:rsid w:val="007C0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22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022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90227F"/>
  </w:style>
  <w:style w:type="character" w:styleId="a3">
    <w:name w:val="Emphasis"/>
    <w:basedOn w:val="a0"/>
    <w:uiPriority w:val="20"/>
    <w:qFormat/>
    <w:rsid w:val="0090227F"/>
    <w:rPr>
      <w:i/>
      <w:iCs/>
    </w:rPr>
  </w:style>
  <w:style w:type="character" w:styleId="a4">
    <w:name w:val="Hyperlink"/>
    <w:basedOn w:val="a0"/>
    <w:uiPriority w:val="99"/>
    <w:unhideWhenUsed/>
    <w:rsid w:val="009022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022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227F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B6B0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B6B07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7C0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C098B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C0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C098B"/>
    <w:rPr>
      <w:sz w:val="18"/>
      <w:szCs w:val="18"/>
    </w:rPr>
  </w:style>
  <w:style w:type="table" w:styleId="aa">
    <w:name w:val="Table Grid"/>
    <w:basedOn w:val="a1"/>
    <w:uiPriority w:val="59"/>
    <w:rsid w:val="007C0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04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2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7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  <w:div w:id="733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148</Words>
  <Characters>846</Characters>
  <Application>Microsoft Office Word</Application>
  <DocSecurity>0</DocSecurity>
  <Lines>7</Lines>
  <Paragraphs>1</Paragraphs>
  <ScaleCrop>false</ScaleCrop>
  <Company>china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2018-02-24T03:09:00Z</cp:lastPrinted>
  <dcterms:created xsi:type="dcterms:W3CDTF">2018-02-23T07:00:00Z</dcterms:created>
  <dcterms:modified xsi:type="dcterms:W3CDTF">2018-03-01T06:51:00Z</dcterms:modified>
</cp:coreProperties>
</file>